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left"/>
      </w:pPr>
      <w:r>
        <w:rPr>
          <w:rFonts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北塔区</w:t>
      </w:r>
      <w:r>
        <w:rPr>
          <w:rFonts w:hint="default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2018年春季教师资格认定安排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exact"/>
        <w:ind w:left="0" w:right="0" w:firstLine="482" w:firstLineChars="150"/>
        <w:jc w:val="center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left"/>
      </w:pPr>
      <w:r>
        <w:rPr>
          <w:rFonts w:hint="default" w:ascii="仿宋_GB2312" w:hAnsi="宋体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 网上申请时间：3月21日-4月4日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72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现场确认时间：4月9日-4月10日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72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现场确认地点：北塔区教科局706室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72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认定结果公示：2018年4月23日-4月25日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72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公 示 网 站 ：中国北塔、邵阳市北塔区教育科技局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72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领 证 时 间 ：5月10日-5月11日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72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领 证 地 点 ：北塔区教科局706室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 w:firstLine="472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32"/>
          <w:szCs w:val="32"/>
          <w:lang w:val="en-US" w:eastAsia="zh-CN" w:bidi="ar"/>
        </w:rPr>
        <w:t>联 系 电 话 ：0739-5623801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B79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2018-03-16T04:01:55Z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